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56C11" w:rsidP="00132FC5">
      <w:pPr>
        <w:spacing w:after="0"/>
        <w:jc w:val="center"/>
        <w:rPr>
          <w:rFonts w:ascii="Times New Roman" w:hAnsi="Times New Roman"/>
          <w:sz w:val="28"/>
          <w:szCs w:val="28"/>
        </w:rPr>
      </w:pPr>
      <w:r>
        <w:rPr>
          <w:rFonts w:ascii="Times New Roman" w:hAnsi="Times New Roman"/>
          <w:sz w:val="28"/>
          <w:szCs w:val="28"/>
        </w:rPr>
        <w:t>18</w:t>
      </w:r>
      <w:r w:rsidR="00FB792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556C11">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556C11">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56C11"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FB7928">
        <w:rPr>
          <w:rFonts w:ascii="Times New Roman" w:hAnsi="Times New Roman"/>
          <w:sz w:val="24"/>
          <w:szCs w:val="24"/>
        </w:rPr>
        <w:t>8.04</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556C11">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556C11">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w:t>
            </w:r>
            <w:r w:rsidR="00556C11">
              <w:rPr>
                <w:rFonts w:ascii="Times New Roman" w:hAnsi="Times New Roman" w:cs="Arial"/>
                <w:sz w:val="20"/>
                <w:szCs w:val="20"/>
                <w:lang w:eastAsia="en-US"/>
              </w:rPr>
              <w:t>ского поселения, МБУК КСП ТР «К</w:t>
            </w:r>
            <w:r w:rsidRPr="009258AD">
              <w:rPr>
                <w:rFonts w:ascii="Times New Roman" w:hAnsi="Times New Roman" w:cs="Arial"/>
                <w:sz w:val="20"/>
                <w:szCs w:val="20"/>
                <w:lang w:eastAsia="en-US"/>
              </w:rPr>
              <w:t>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1080"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199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556C11">
        <w:rPr>
          <w:rFonts w:ascii="Times New Roman" w:hAnsi="Times New Roman"/>
          <w:sz w:val="28"/>
          <w:szCs w:val="28"/>
        </w:rPr>
        <w:t xml:space="preserve">    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556C11">
        <w:rPr>
          <w:sz w:val="28"/>
          <w:szCs w:val="28"/>
        </w:rPr>
        <w:t xml:space="preserve"> за 2017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556C11">
        <w:rPr>
          <w:rFonts w:ascii="Times New Roman" w:hAnsi="Times New Roman"/>
          <w:color w:val="000000"/>
          <w:sz w:val="28"/>
          <w:szCs w:val="28"/>
        </w:rPr>
        <w:t xml:space="preserve"> увеличилось до 7 </w:t>
      </w:r>
      <w:r>
        <w:rPr>
          <w:rFonts w:ascii="Times New Roman" w:hAnsi="Times New Roman"/>
          <w:color w:val="000000"/>
          <w:sz w:val="28"/>
          <w:szCs w:val="28"/>
        </w:rPr>
        <w:t>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556C11"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2017 году проведено 7</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7</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556C11">
        <w:rPr>
          <w:rFonts w:ascii="Times New Roman" w:hAnsi="Times New Roman"/>
          <w:sz w:val="28"/>
          <w:szCs w:val="28"/>
        </w:rPr>
        <w:t xml:space="preserve"> равно пят</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5F4CBD">
        <w:rPr>
          <w:rFonts w:ascii="Times New Roman" w:hAnsi="Times New Roman"/>
          <w:sz w:val="28"/>
          <w:szCs w:val="28"/>
        </w:rPr>
        <w:t>около двухсот</w:t>
      </w:r>
      <w:r w:rsidR="00556C11">
        <w:rPr>
          <w:rFonts w:ascii="Times New Roman" w:hAnsi="Times New Roman"/>
          <w:sz w:val="28"/>
          <w:szCs w:val="28"/>
        </w:rPr>
        <w:t xml:space="preserve"> пятидесяти</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556C11">
        <w:rPr>
          <w:rFonts w:ascii="Times New Roman" w:hAnsi="Times New Roman"/>
          <w:sz w:val="28"/>
          <w:szCs w:val="28"/>
        </w:rPr>
        <w:t xml:space="preserve"> увеличилось до семи</w:t>
      </w:r>
      <w:r w:rsidR="005F4CBD">
        <w:rPr>
          <w:rFonts w:ascii="Times New Roman" w:hAnsi="Times New Roman"/>
          <w:sz w:val="28"/>
          <w:szCs w:val="28"/>
        </w:rPr>
        <w:t xml:space="preserve">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556C11">
        <w:rPr>
          <w:rFonts w:ascii="Times New Roman" w:hAnsi="Times New Roman"/>
          <w:sz w:val="28"/>
          <w:szCs w:val="28"/>
        </w:rPr>
        <w:t>ы по результатам за 2017</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686" w:rsidRDefault="00774686" w:rsidP="009258AD">
      <w:pPr>
        <w:spacing w:after="0" w:line="240" w:lineRule="auto"/>
      </w:pPr>
      <w:r>
        <w:separator/>
      </w:r>
    </w:p>
  </w:endnote>
  <w:endnote w:type="continuationSeparator" w:id="0">
    <w:p w:rsidR="00774686" w:rsidRDefault="0077468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686" w:rsidRDefault="00774686" w:rsidP="009258AD">
      <w:pPr>
        <w:spacing w:after="0" w:line="240" w:lineRule="auto"/>
      </w:pPr>
      <w:r>
        <w:separator/>
      </w:r>
    </w:p>
  </w:footnote>
  <w:footnote w:type="continuationSeparator" w:id="0">
    <w:p w:rsidR="00774686" w:rsidRDefault="0077468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56C11"/>
    <w:rsid w:val="005B35D3"/>
    <w:rsid w:val="005C586D"/>
    <w:rsid w:val="005F4CBD"/>
    <w:rsid w:val="006449A9"/>
    <w:rsid w:val="0067197E"/>
    <w:rsid w:val="006A3236"/>
    <w:rsid w:val="006E71D4"/>
    <w:rsid w:val="00727022"/>
    <w:rsid w:val="00753031"/>
    <w:rsid w:val="007562CE"/>
    <w:rsid w:val="00774686"/>
    <w:rsid w:val="007A25D9"/>
    <w:rsid w:val="007A2C7B"/>
    <w:rsid w:val="007F3902"/>
    <w:rsid w:val="00896D32"/>
    <w:rsid w:val="00896F71"/>
    <w:rsid w:val="00917B1D"/>
    <w:rsid w:val="009258AD"/>
    <w:rsid w:val="0095692B"/>
    <w:rsid w:val="009F4B33"/>
    <w:rsid w:val="00AB2ECF"/>
    <w:rsid w:val="00AF66D1"/>
    <w:rsid w:val="00AF6F39"/>
    <w:rsid w:val="00B2697E"/>
    <w:rsid w:val="00B33E1B"/>
    <w:rsid w:val="00B71B6F"/>
    <w:rsid w:val="00BB3A23"/>
    <w:rsid w:val="00C10753"/>
    <w:rsid w:val="00C52968"/>
    <w:rsid w:val="00C7136A"/>
    <w:rsid w:val="00C76264"/>
    <w:rsid w:val="00C9678D"/>
    <w:rsid w:val="00CD7316"/>
    <w:rsid w:val="00D067A0"/>
    <w:rsid w:val="00D20B8E"/>
    <w:rsid w:val="00DA7078"/>
    <w:rsid w:val="00DC7431"/>
    <w:rsid w:val="00E007BD"/>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C833CF-92CA-4959-82D5-2D24C500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EF09-EBE5-45E7-BED9-FB84CE70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7605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8922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2017-04-24T10:39:00Z</cp:lastPrinted>
  <dcterms:created xsi:type="dcterms:W3CDTF">2025-07-09T22:14:00Z</dcterms:created>
  <dcterms:modified xsi:type="dcterms:W3CDTF">2025-07-09T22:14:00Z</dcterms:modified>
</cp:coreProperties>
</file>